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54E42667" w:rsidR="008A22CF" w:rsidRPr="008B68CD" w:rsidRDefault="008A22CF" w:rsidP="008A22CF">
      <w:pPr>
        <w:pStyle w:val="3GPPHeader"/>
        <w:spacing w:after="60"/>
        <w:rPr>
          <w:lang w:val="en-US"/>
        </w:rPr>
      </w:pPr>
      <w:bookmarkStart w:id="0" w:name="_Hlk487029736"/>
      <w:bookmarkEnd w:id="0"/>
      <w:r w:rsidRPr="008B68CD">
        <w:rPr>
          <w:lang w:val="en-US"/>
        </w:rPr>
        <w:t>3GPP TSG-RAN WG4</w:t>
      </w:r>
      <w:r w:rsidR="001D4850" w:rsidRPr="008B68CD">
        <w:rPr>
          <w:lang w:val="en-US"/>
        </w:rPr>
        <w:t xml:space="preserve"> Meeting</w:t>
      </w:r>
      <w:r w:rsidR="005071CC" w:rsidRPr="008B68CD">
        <w:rPr>
          <w:lang w:val="en-US"/>
        </w:rPr>
        <w:t xml:space="preserve"> </w:t>
      </w:r>
      <w:r w:rsidR="00837AD9" w:rsidRPr="008B68CD">
        <w:rPr>
          <w:rFonts w:eastAsia="PMingLiU" w:cs="Arial"/>
          <w:color w:val="000000" w:themeColor="text1"/>
          <w:sz w:val="22"/>
          <w:lang w:val="en-US" w:eastAsia="ja-JP"/>
        </w:rPr>
        <w:t>#</w:t>
      </w:r>
      <w:bookmarkStart w:id="1" w:name="_Hlk110436944"/>
      <w:r w:rsidR="00837AD9" w:rsidRPr="008B68CD">
        <w:rPr>
          <w:rFonts w:eastAsia="PMingLiU" w:cs="Arial"/>
          <w:color w:val="000000" w:themeColor="text1"/>
          <w:sz w:val="22"/>
          <w:lang w:val="en-US" w:eastAsia="ja-JP"/>
        </w:rPr>
        <w:t>10</w:t>
      </w:r>
      <w:bookmarkEnd w:id="1"/>
      <w:r w:rsidR="005D7692" w:rsidRPr="008B68CD">
        <w:rPr>
          <w:rFonts w:eastAsia="PMingLiU" w:cs="Arial"/>
          <w:color w:val="000000" w:themeColor="text1"/>
          <w:sz w:val="22"/>
          <w:lang w:val="en-US" w:eastAsia="ja-JP"/>
        </w:rPr>
        <w:t>7</w:t>
      </w:r>
      <w:r w:rsidRPr="008B68CD">
        <w:rPr>
          <w:lang w:val="en-US"/>
        </w:rPr>
        <w:tab/>
      </w:r>
      <w:r w:rsidR="005863F3" w:rsidRPr="008B68CD">
        <w:rPr>
          <w:lang w:val="en-US"/>
        </w:rPr>
        <w:t>R4-</w:t>
      </w:r>
      <w:r w:rsidR="00383317" w:rsidRPr="008B68CD">
        <w:rPr>
          <w:lang w:val="en-US"/>
        </w:rPr>
        <w:t>2</w:t>
      </w:r>
      <w:r w:rsidR="00AE5BBB" w:rsidRPr="008B68CD">
        <w:rPr>
          <w:lang w:val="en-US"/>
        </w:rPr>
        <w:t>30</w:t>
      </w:r>
      <w:r w:rsidR="008B68CD">
        <w:rPr>
          <w:lang w:val="en-US"/>
        </w:rPr>
        <w:t>8388</w:t>
      </w:r>
    </w:p>
    <w:p w14:paraId="65F55581" w14:textId="06A92299" w:rsidR="008A22CF" w:rsidRPr="008B68CD" w:rsidRDefault="005D7692" w:rsidP="008A22CF">
      <w:pPr>
        <w:pStyle w:val="3GPPHeader"/>
        <w:rPr>
          <w:lang w:val="en-US"/>
        </w:rPr>
      </w:pPr>
      <w:r w:rsidRPr="008B68CD">
        <w:rPr>
          <w:lang w:val="en-US"/>
        </w:rPr>
        <w:t>Incheon, South Korea, May 22</w:t>
      </w:r>
      <w:r w:rsidR="002464EE" w:rsidRPr="008B68CD">
        <w:rPr>
          <w:vertAlign w:val="superscript"/>
          <w:lang w:val="en-US"/>
        </w:rPr>
        <w:t>nd</w:t>
      </w:r>
      <w:r w:rsidR="002464EE" w:rsidRPr="008B68CD">
        <w:rPr>
          <w:lang w:val="en-US"/>
        </w:rPr>
        <w:t xml:space="preserve"> </w:t>
      </w:r>
      <w:r w:rsidRPr="008B68CD">
        <w:rPr>
          <w:lang w:val="en-US"/>
        </w:rPr>
        <w:t>– 26</w:t>
      </w:r>
      <w:r w:rsidR="002464EE" w:rsidRPr="008B68CD">
        <w:rPr>
          <w:vertAlign w:val="superscript"/>
          <w:lang w:val="en-US"/>
        </w:rPr>
        <w:t>th</w:t>
      </w:r>
      <w:r w:rsidRPr="008B68CD">
        <w:rPr>
          <w:lang w:val="en-US"/>
        </w:rPr>
        <w:t>, 2023</w:t>
      </w:r>
      <w:r w:rsidR="002464EE" w:rsidRPr="008B68CD">
        <w:rPr>
          <w:lang w:val="en-US"/>
        </w:rPr>
        <w:t xml:space="preserve"> </w:t>
      </w:r>
    </w:p>
    <w:p w14:paraId="2D8C5D3B" w14:textId="77777777" w:rsidR="00837AD9" w:rsidRPr="008B68CD" w:rsidRDefault="00837AD9" w:rsidP="008A22CF">
      <w:pPr>
        <w:pStyle w:val="3GPPHeader"/>
        <w:rPr>
          <w:lang w:val="en-US"/>
        </w:rPr>
      </w:pPr>
    </w:p>
    <w:p w14:paraId="0FDE225D" w14:textId="335CC770" w:rsidR="008A22CF" w:rsidRPr="008B68CD" w:rsidRDefault="008A22CF" w:rsidP="008A22CF">
      <w:pPr>
        <w:pStyle w:val="3GPPHeader"/>
        <w:rPr>
          <w:sz w:val="22"/>
          <w:lang w:val="en-US"/>
        </w:rPr>
      </w:pPr>
      <w:r w:rsidRPr="008B68CD">
        <w:rPr>
          <w:sz w:val="22"/>
          <w:lang w:val="en-US"/>
        </w:rPr>
        <w:t>Agenda Item:</w:t>
      </w:r>
      <w:r w:rsidRPr="008B68CD">
        <w:rPr>
          <w:sz w:val="22"/>
          <w:lang w:val="en-US"/>
        </w:rPr>
        <w:tab/>
      </w:r>
      <w:r w:rsidR="00742672" w:rsidRPr="008B68CD">
        <w:rPr>
          <w:sz w:val="22"/>
          <w:lang w:val="en-US"/>
        </w:rPr>
        <w:t>8</w:t>
      </w:r>
      <w:r w:rsidR="00927488" w:rsidRPr="008B68CD">
        <w:rPr>
          <w:sz w:val="22"/>
          <w:lang w:val="en-US"/>
        </w:rPr>
        <w:t>.</w:t>
      </w:r>
      <w:r w:rsidR="00742672" w:rsidRPr="008B68CD">
        <w:rPr>
          <w:sz w:val="22"/>
          <w:lang w:val="en-US"/>
        </w:rPr>
        <w:t>7.3.</w:t>
      </w:r>
      <w:r w:rsidR="00BB00C9" w:rsidRPr="008B68CD">
        <w:rPr>
          <w:sz w:val="22"/>
          <w:lang w:val="en-US"/>
        </w:rPr>
        <w:t>2</w:t>
      </w:r>
    </w:p>
    <w:p w14:paraId="57D8FDDC" w14:textId="4993D1F6" w:rsidR="008A22CF" w:rsidRPr="008B68CD" w:rsidRDefault="008A22CF" w:rsidP="008A22CF">
      <w:pPr>
        <w:pStyle w:val="3GPPHeader"/>
        <w:rPr>
          <w:sz w:val="22"/>
          <w:lang w:val="en-US"/>
        </w:rPr>
      </w:pPr>
      <w:r w:rsidRPr="008B68CD">
        <w:rPr>
          <w:sz w:val="22"/>
          <w:lang w:val="en-US"/>
        </w:rPr>
        <w:t>Source:</w:t>
      </w:r>
      <w:r w:rsidRPr="008B68CD">
        <w:rPr>
          <w:sz w:val="22"/>
          <w:lang w:val="en-US"/>
        </w:rPr>
        <w:tab/>
      </w:r>
      <w:r w:rsidR="00837AD9" w:rsidRPr="008B68CD">
        <w:rPr>
          <w:sz w:val="22"/>
          <w:lang w:val="en-US"/>
        </w:rPr>
        <w:t>MediaTek Inc.</w:t>
      </w:r>
    </w:p>
    <w:p w14:paraId="3A8FC3FA" w14:textId="41555F07" w:rsidR="008A22CF" w:rsidRPr="008B68CD" w:rsidRDefault="008A22CF" w:rsidP="0060526C">
      <w:pPr>
        <w:pStyle w:val="3GPPHeader"/>
        <w:ind w:left="1701" w:hanging="1701"/>
        <w:rPr>
          <w:sz w:val="22"/>
          <w:lang w:val="en-US"/>
        </w:rPr>
      </w:pPr>
      <w:r w:rsidRPr="008B68CD">
        <w:rPr>
          <w:sz w:val="22"/>
          <w:lang w:val="en-US"/>
        </w:rPr>
        <w:t>Title:</w:t>
      </w:r>
      <w:r w:rsidR="0060526C" w:rsidRPr="008B68CD">
        <w:rPr>
          <w:sz w:val="22"/>
          <w:lang w:val="en-US"/>
        </w:rPr>
        <w:t xml:space="preserve"> </w:t>
      </w:r>
      <w:r w:rsidR="0060526C" w:rsidRPr="008B68CD">
        <w:rPr>
          <w:sz w:val="22"/>
          <w:lang w:val="en-US"/>
        </w:rPr>
        <w:tab/>
      </w:r>
      <w:r w:rsidR="00BB00C9" w:rsidRPr="008B68CD">
        <w:rPr>
          <w:sz w:val="22"/>
          <w:lang w:val="en-US"/>
        </w:rPr>
        <w:t>On UE beam type and DRX implications</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04B4804" w14:textId="6265F5B6" w:rsidR="00E92373" w:rsidRPr="008B68CD" w:rsidRDefault="00B908F0" w:rsidP="006D75DD">
      <w:pPr>
        <w:jc w:val="both"/>
        <w:rPr>
          <w:lang w:val="en-US"/>
        </w:rPr>
      </w:pPr>
      <w:bookmarkStart w:id="2" w:name="OLE_LINK13"/>
      <w:r w:rsidRPr="008B68CD">
        <w:rPr>
          <w:lang w:val="en-US"/>
        </w:rPr>
        <w:t>For the beam type in FR2 beam correspondence requirements for initial access and RRC_INACTIVE, RAN4 has spent several meetings but is not even able to reach a common understanding, leaving all options still open as shown below according to the agreed way forward in RAN4#106bis-e [1]</w:t>
      </w:r>
      <w:r w:rsidR="000C22DC" w:rsidRPr="008B68CD">
        <w:rPr>
          <w:lang w:val="en-US"/>
        </w:rPr>
        <w:t>[2]</w:t>
      </w:r>
      <w:r w:rsidRPr="008B68CD">
        <w:rPr>
          <w:lang w:val="en-US"/>
        </w:rPr>
        <w:t>:</w:t>
      </w:r>
    </w:p>
    <w:tbl>
      <w:tblPr>
        <w:tblStyle w:val="TableGrid"/>
        <w:tblW w:w="0" w:type="auto"/>
        <w:tblLook w:val="04A0" w:firstRow="1" w:lastRow="0" w:firstColumn="1" w:lastColumn="0" w:noHBand="0" w:noVBand="1"/>
      </w:tblPr>
      <w:tblGrid>
        <w:gridCol w:w="9629"/>
      </w:tblGrid>
      <w:tr w:rsidR="00D47F3D" w:rsidRPr="008B68CD" w14:paraId="0449ED63" w14:textId="77777777" w:rsidTr="00D47F3D">
        <w:tc>
          <w:tcPr>
            <w:tcW w:w="9629" w:type="dxa"/>
          </w:tcPr>
          <w:p w14:paraId="0CD060D2" w14:textId="77777777" w:rsidR="002D4171" w:rsidRPr="008B68CD" w:rsidRDefault="002D4171" w:rsidP="002D4171">
            <w:pPr>
              <w:spacing w:after="120" w:line="240" w:lineRule="auto"/>
              <w:rPr>
                <w:rFonts w:eastAsia="SimSun"/>
                <w:i/>
                <w:iCs/>
                <w:sz w:val="20"/>
                <w:szCs w:val="20"/>
                <w:lang w:val="en-US"/>
              </w:rPr>
            </w:pPr>
            <w:r w:rsidRPr="008B68CD">
              <w:rPr>
                <w:rFonts w:eastAsia="SimSun"/>
                <w:i/>
                <w:iCs/>
                <w:sz w:val="20"/>
                <w:szCs w:val="20"/>
                <w:lang w:val="en-US"/>
              </w:rPr>
              <w:t>Issue 2-1: Beam refinement</w:t>
            </w:r>
          </w:p>
          <w:p w14:paraId="311F02A0" w14:textId="77777777" w:rsidR="002D4171" w:rsidRPr="008B68CD" w:rsidRDefault="002D4171" w:rsidP="002D4171">
            <w:pPr>
              <w:spacing w:after="120" w:line="240" w:lineRule="auto"/>
              <w:rPr>
                <w:rFonts w:eastAsia="SimSun"/>
                <w:i/>
                <w:iCs/>
                <w:sz w:val="20"/>
                <w:szCs w:val="20"/>
                <w:lang w:val="en-US"/>
              </w:rPr>
            </w:pPr>
            <w:r w:rsidRPr="008B68CD">
              <w:rPr>
                <w:rFonts w:eastAsia="SimSun"/>
                <w:i/>
                <w:iCs/>
                <w:sz w:val="20"/>
                <w:szCs w:val="20"/>
                <w:lang w:val="en-US"/>
              </w:rPr>
              <w:t>•</w:t>
            </w:r>
            <w:r w:rsidRPr="008B68CD">
              <w:rPr>
                <w:rFonts w:eastAsia="SimSun"/>
                <w:i/>
                <w:iCs/>
                <w:sz w:val="20"/>
                <w:szCs w:val="20"/>
                <w:lang w:val="en-US"/>
              </w:rPr>
              <w:tab/>
              <w:t>Proposals</w:t>
            </w:r>
          </w:p>
          <w:p w14:paraId="0DB47FA8" w14:textId="77777777" w:rsidR="002D4171" w:rsidRPr="008B68CD" w:rsidRDefault="002D4171" w:rsidP="002D4171">
            <w:pPr>
              <w:spacing w:after="120" w:line="240" w:lineRule="auto"/>
              <w:ind w:left="284"/>
              <w:rPr>
                <w:rFonts w:eastAsia="SimSun"/>
                <w:i/>
                <w:iCs/>
                <w:sz w:val="20"/>
                <w:szCs w:val="20"/>
                <w:lang w:val="en-US"/>
              </w:rPr>
            </w:pPr>
            <w:r w:rsidRPr="008B68CD">
              <w:rPr>
                <w:rFonts w:eastAsia="SimSun"/>
                <w:i/>
                <w:iCs/>
                <w:sz w:val="20"/>
                <w:szCs w:val="20"/>
                <w:lang w:val="en-US"/>
              </w:rPr>
              <w:t>o</w:t>
            </w:r>
            <w:r w:rsidRPr="008B68CD">
              <w:rPr>
                <w:rFonts w:eastAsia="SimSun"/>
                <w:i/>
                <w:iCs/>
                <w:sz w:val="20"/>
                <w:szCs w:val="20"/>
                <w:lang w:val="en-US"/>
              </w:rPr>
              <w:tab/>
              <w:t>Option 1: Since the UE has enablers such as Rel-17 TRS signals which can be used for beam refinement without impacting the system acquisition time, the minimum peak EIRP requirements for msg1 in IDLE and INACTIVE can be kept same as RRC_CONNECTED mode</w:t>
            </w:r>
          </w:p>
          <w:p w14:paraId="6092071A" w14:textId="77777777" w:rsidR="002D4171" w:rsidRPr="008B68CD" w:rsidRDefault="002D4171" w:rsidP="002D4171">
            <w:pPr>
              <w:spacing w:after="120" w:line="240" w:lineRule="auto"/>
              <w:ind w:left="284"/>
              <w:rPr>
                <w:rFonts w:eastAsia="SimSun"/>
                <w:i/>
                <w:iCs/>
                <w:sz w:val="20"/>
                <w:szCs w:val="20"/>
                <w:lang w:val="en-US"/>
              </w:rPr>
            </w:pPr>
            <w:r w:rsidRPr="008B68CD">
              <w:rPr>
                <w:rFonts w:eastAsia="SimSun"/>
                <w:i/>
                <w:iCs/>
                <w:sz w:val="20"/>
                <w:szCs w:val="20"/>
                <w:lang w:val="en-US"/>
              </w:rPr>
              <w:t>o</w:t>
            </w:r>
            <w:r w:rsidRPr="008B68CD">
              <w:rPr>
                <w:rFonts w:eastAsia="SimSun"/>
                <w:i/>
                <w:iCs/>
                <w:sz w:val="20"/>
                <w:szCs w:val="20"/>
                <w:lang w:val="en-US"/>
              </w:rPr>
              <w:tab/>
              <w:t>Option 2: It would be beneficial to study and propose solutions on how the UE can do beam refinement in IDLE and INACTIVE modes for msg3. These would be helpful in a large number of practical network scenarios one of which we have stated in our discussion.</w:t>
            </w:r>
          </w:p>
          <w:p w14:paraId="5D275DB0" w14:textId="77777777" w:rsidR="002D4171" w:rsidRPr="008B68CD" w:rsidRDefault="002D4171" w:rsidP="002D4171">
            <w:pPr>
              <w:spacing w:after="120" w:line="240" w:lineRule="auto"/>
              <w:ind w:left="284"/>
              <w:rPr>
                <w:rFonts w:eastAsia="SimSun"/>
                <w:i/>
                <w:iCs/>
                <w:sz w:val="20"/>
                <w:szCs w:val="20"/>
                <w:lang w:val="en-US"/>
              </w:rPr>
            </w:pPr>
            <w:r w:rsidRPr="008B68CD">
              <w:rPr>
                <w:rFonts w:eastAsia="SimSun"/>
                <w:i/>
                <w:iCs/>
                <w:sz w:val="20"/>
                <w:szCs w:val="20"/>
                <w:lang w:val="en-US"/>
              </w:rPr>
              <w:t>o</w:t>
            </w:r>
            <w:r w:rsidRPr="008B68CD">
              <w:rPr>
                <w:rFonts w:eastAsia="SimSun"/>
                <w:i/>
                <w:iCs/>
                <w:sz w:val="20"/>
                <w:szCs w:val="20"/>
                <w:lang w:val="en-US"/>
              </w:rPr>
              <w:tab/>
              <w:t>Option 3: The RF requirement should accommodate both rough beam and fine beam.</w:t>
            </w:r>
          </w:p>
          <w:p w14:paraId="4A4222B2" w14:textId="77777777" w:rsidR="002D4171" w:rsidRPr="008B68CD" w:rsidRDefault="002D4171" w:rsidP="002D4171">
            <w:pPr>
              <w:spacing w:after="120" w:line="240" w:lineRule="auto"/>
              <w:ind w:left="284"/>
              <w:rPr>
                <w:rFonts w:eastAsia="SimSun"/>
                <w:i/>
                <w:iCs/>
                <w:sz w:val="20"/>
                <w:szCs w:val="20"/>
                <w:lang w:val="en-US"/>
              </w:rPr>
            </w:pPr>
            <w:r w:rsidRPr="008B68CD">
              <w:rPr>
                <w:rFonts w:eastAsia="SimSun"/>
                <w:i/>
                <w:iCs/>
                <w:sz w:val="20"/>
                <w:szCs w:val="20"/>
                <w:lang w:val="en-US"/>
              </w:rPr>
              <w:t>o</w:t>
            </w:r>
            <w:r w:rsidRPr="008B68CD">
              <w:rPr>
                <w:rFonts w:eastAsia="SimSun"/>
                <w:i/>
                <w:iCs/>
                <w:sz w:val="20"/>
                <w:szCs w:val="20"/>
                <w:lang w:val="en-US"/>
              </w:rPr>
              <w:tab/>
              <w:t>Option 4: RAN4 to conclude that no more discussion on beam type selection for beam correspondence requirements for initial access and RRC_INACTIVE state.</w:t>
            </w:r>
          </w:p>
          <w:p w14:paraId="565ADB8B" w14:textId="7AF00173" w:rsidR="002D4171" w:rsidRPr="008B68CD" w:rsidRDefault="002D4171" w:rsidP="002D4171">
            <w:pPr>
              <w:spacing w:after="120" w:line="240" w:lineRule="auto"/>
              <w:ind w:left="284"/>
              <w:rPr>
                <w:rFonts w:eastAsia="SimSun"/>
                <w:i/>
                <w:iCs/>
                <w:sz w:val="20"/>
                <w:szCs w:val="20"/>
                <w:lang w:val="en-US"/>
              </w:rPr>
            </w:pPr>
            <w:r w:rsidRPr="008B68CD">
              <w:rPr>
                <w:rFonts w:eastAsia="SimSun"/>
                <w:i/>
                <w:iCs/>
                <w:sz w:val="20"/>
                <w:szCs w:val="20"/>
                <w:lang w:val="en-US"/>
              </w:rPr>
              <w:t>o</w:t>
            </w:r>
            <w:r w:rsidRPr="008B68CD">
              <w:rPr>
                <w:rFonts w:eastAsia="SimSun"/>
                <w:i/>
                <w:iCs/>
                <w:sz w:val="20"/>
                <w:szCs w:val="20"/>
                <w:lang w:val="en-US"/>
              </w:rPr>
              <w:tab/>
              <w:t>Option 5: Rough beam or Fine beam used in IA is up to UE implementation and the requirements should be implementation agnostic.</w:t>
            </w:r>
          </w:p>
          <w:p w14:paraId="76A537DD" w14:textId="77777777" w:rsidR="002D4171" w:rsidRPr="008B68CD" w:rsidRDefault="002D4171" w:rsidP="002D4171">
            <w:pPr>
              <w:spacing w:after="120" w:line="240" w:lineRule="auto"/>
              <w:rPr>
                <w:rFonts w:eastAsia="SimSun"/>
                <w:i/>
                <w:iCs/>
                <w:sz w:val="20"/>
                <w:szCs w:val="20"/>
                <w:lang w:val="en-US"/>
              </w:rPr>
            </w:pPr>
            <w:r w:rsidRPr="008B68CD">
              <w:rPr>
                <w:rFonts w:eastAsia="SimSun"/>
                <w:i/>
                <w:iCs/>
                <w:sz w:val="20"/>
                <w:szCs w:val="20"/>
                <w:lang w:val="en-US"/>
              </w:rPr>
              <w:t>Way forward/Agreements:</w:t>
            </w:r>
          </w:p>
          <w:p w14:paraId="29FA598B" w14:textId="3B5D075B" w:rsidR="00D47F3D" w:rsidRPr="008B68CD" w:rsidRDefault="002D4171" w:rsidP="002D4171">
            <w:pPr>
              <w:spacing w:after="120" w:line="240" w:lineRule="auto"/>
              <w:rPr>
                <w:rFonts w:eastAsia="SimSun"/>
                <w:i/>
                <w:iCs/>
                <w:sz w:val="20"/>
                <w:szCs w:val="20"/>
                <w:lang w:val="en-US"/>
              </w:rPr>
            </w:pPr>
            <w:r w:rsidRPr="008B68CD">
              <w:rPr>
                <w:rFonts w:eastAsia="SimSun"/>
                <w:i/>
                <w:iCs/>
                <w:sz w:val="20"/>
                <w:szCs w:val="20"/>
                <w:lang w:val="en-US"/>
              </w:rPr>
              <w:t>o</w:t>
            </w:r>
            <w:r w:rsidRPr="008B68CD">
              <w:rPr>
                <w:rFonts w:eastAsia="SimSun"/>
                <w:i/>
                <w:iCs/>
                <w:sz w:val="20"/>
                <w:szCs w:val="20"/>
                <w:lang w:val="en-US"/>
              </w:rPr>
              <w:tab/>
              <w:t>FFS</w:t>
            </w:r>
          </w:p>
        </w:tc>
      </w:tr>
    </w:tbl>
    <w:p w14:paraId="0BC21146" w14:textId="77777777" w:rsidR="00D47F3D" w:rsidRPr="008B68CD" w:rsidRDefault="00D47F3D" w:rsidP="006D75DD">
      <w:pPr>
        <w:jc w:val="both"/>
        <w:rPr>
          <w:lang w:val="en-US"/>
        </w:rPr>
      </w:pPr>
    </w:p>
    <w:p w14:paraId="385F85FA" w14:textId="241DBFAD" w:rsidR="004A5114" w:rsidRPr="008B68CD" w:rsidRDefault="004A5114" w:rsidP="006D75DD">
      <w:pPr>
        <w:jc w:val="both"/>
        <w:rPr>
          <w:lang w:val="en-US"/>
        </w:rPr>
      </w:pPr>
      <w:r w:rsidRPr="008B68CD">
        <w:rPr>
          <w:lang w:val="en-US"/>
        </w:rPr>
        <w:t xml:space="preserve">In this contribution, we suggest to merge several options together </w:t>
      </w:r>
      <w:r w:rsidR="00AD64FD" w:rsidRPr="008B68CD">
        <w:rPr>
          <w:lang w:val="en-US"/>
        </w:rPr>
        <w:t xml:space="preserve">as a conclusion on this topic, </w:t>
      </w:r>
      <w:r w:rsidRPr="008B68CD">
        <w:rPr>
          <w:lang w:val="en-US"/>
        </w:rPr>
        <w:t>and RAN4 move on and focus on specifying FR2 beam correspondence requirements for IA and RRC_INACTIVE, and no more discussion on beam type selection.</w:t>
      </w:r>
    </w:p>
    <w:bookmarkEnd w:id="2"/>
    <w:p w14:paraId="2AAF9378" w14:textId="3A41406C" w:rsidR="009C6625" w:rsidRPr="00F90BF2" w:rsidRDefault="006913F6" w:rsidP="00F90BF2">
      <w:pPr>
        <w:pStyle w:val="Heading1"/>
        <w:numPr>
          <w:ilvl w:val="0"/>
          <w:numId w:val="3"/>
        </w:numPr>
        <w:rPr>
          <w:lang w:val="en-US"/>
        </w:rPr>
      </w:pPr>
      <w:r w:rsidRPr="009011F0">
        <w:rPr>
          <w:lang w:val="en-US"/>
        </w:rPr>
        <w:t>Discussion</w:t>
      </w:r>
      <w:r w:rsidR="00F03B10">
        <w:t xml:space="preserve"> </w:t>
      </w:r>
    </w:p>
    <w:p w14:paraId="784F47E1" w14:textId="6813BCED" w:rsidR="00DC1EDD" w:rsidRPr="008B68CD" w:rsidRDefault="00DC1EDD" w:rsidP="00D776A6">
      <w:pPr>
        <w:jc w:val="both"/>
        <w:rPr>
          <w:bCs/>
          <w:lang w:val="en-US"/>
        </w:rPr>
      </w:pPr>
      <w:r w:rsidRPr="008B68CD">
        <w:rPr>
          <w:bCs/>
          <w:lang w:val="en-US"/>
        </w:rPr>
        <w:t>In principle, when a UE in RRC_IDLE starts initial access process to a cell, the UE actually has the most flexibility or freedom before it connects to the network, for example, the freedom or flexibility of:</w:t>
      </w:r>
    </w:p>
    <w:p w14:paraId="396A9060" w14:textId="3A79F472" w:rsidR="00DC1EDD" w:rsidRPr="008B68CD" w:rsidRDefault="00DC1EDD" w:rsidP="00DC1EDD">
      <w:pPr>
        <w:pStyle w:val="ListParagraph"/>
        <w:numPr>
          <w:ilvl w:val="0"/>
          <w:numId w:val="35"/>
        </w:numPr>
        <w:jc w:val="both"/>
        <w:rPr>
          <w:bCs/>
          <w:lang w:val="en-US"/>
        </w:rPr>
      </w:pPr>
      <w:r w:rsidRPr="008B68CD">
        <w:rPr>
          <w:bCs/>
          <w:lang w:val="en-US"/>
        </w:rPr>
        <w:t>Switching all or part of its antennas.</w:t>
      </w:r>
    </w:p>
    <w:p w14:paraId="401840E7" w14:textId="2482E965" w:rsidR="00DC1EDD" w:rsidRPr="008B68CD" w:rsidRDefault="00DC1EDD" w:rsidP="00DC1EDD">
      <w:pPr>
        <w:pStyle w:val="ListParagraph"/>
        <w:numPr>
          <w:ilvl w:val="0"/>
          <w:numId w:val="35"/>
        </w:numPr>
        <w:jc w:val="both"/>
        <w:rPr>
          <w:bCs/>
          <w:lang w:val="en-US"/>
        </w:rPr>
      </w:pPr>
      <w:r w:rsidRPr="008B68CD">
        <w:rPr>
          <w:bCs/>
          <w:lang w:val="en-US"/>
        </w:rPr>
        <w:lastRenderedPageBreak/>
        <w:t>Selecting channel bandwidth to receive SSB and DL initial BWP, as long as it is no less than the initial BWP bandwidth, and no larger than the SIB1 carrierBandwidth.</w:t>
      </w:r>
    </w:p>
    <w:p w14:paraId="6332CEDB" w14:textId="50F40AC9" w:rsidR="00DC1EDD" w:rsidRPr="008B68CD" w:rsidRDefault="00E7167B" w:rsidP="00E7167B">
      <w:pPr>
        <w:jc w:val="both"/>
        <w:rPr>
          <w:bCs/>
          <w:lang w:val="en-US"/>
        </w:rPr>
      </w:pPr>
      <w:r w:rsidRPr="008B68CD">
        <w:rPr>
          <w:bCs/>
          <w:lang w:val="en-US"/>
        </w:rPr>
        <w:t xml:space="preserve">Enlighted by the feasible flexibility before being connected to the network, the RF requirements for IA should accommodate different implementation, including both rough and fine beam, and the requirements should not impose any limitation on the implementation, i.e., in implementation agnostic way, therefore, with this conclusion, RAN4 can stop the discussion on beam type selection and </w:t>
      </w:r>
      <w:r w:rsidRPr="008B68CD">
        <w:rPr>
          <w:lang w:val="en-US"/>
        </w:rPr>
        <w:t>focus on specifying FR2 beam correspondence requirements for IA and RRC_INACTIVE. This is actually to merge Option 3, 4 and 5.</w:t>
      </w:r>
    </w:p>
    <w:p w14:paraId="15D55AAA" w14:textId="2FADF8CF" w:rsidR="00D776A6" w:rsidRPr="008B68CD" w:rsidRDefault="00E7167B" w:rsidP="00D776A6">
      <w:pPr>
        <w:jc w:val="both"/>
        <w:rPr>
          <w:b/>
          <w:lang w:val="en-US"/>
        </w:rPr>
      </w:pPr>
      <w:bookmarkStart w:id="3" w:name="OLE_LINK1"/>
      <w:bookmarkStart w:id="4" w:name="OLE_LINK7"/>
      <w:r w:rsidRPr="008B68CD">
        <w:rPr>
          <w:b/>
          <w:lang w:val="en-US"/>
        </w:rPr>
        <w:t>Proposal</w:t>
      </w:r>
      <w:r w:rsidR="00BF7AF9" w:rsidRPr="008B68CD">
        <w:rPr>
          <w:b/>
          <w:lang w:val="en-US"/>
        </w:rPr>
        <w:t>:</w:t>
      </w:r>
      <w:r w:rsidR="006A78FE" w:rsidRPr="008B68CD">
        <w:rPr>
          <w:b/>
          <w:lang w:val="en-US"/>
        </w:rPr>
        <w:t xml:space="preserve"> </w:t>
      </w:r>
      <w:bookmarkEnd w:id="3"/>
      <w:r w:rsidRPr="008B68CD">
        <w:rPr>
          <w:b/>
          <w:lang w:val="en-US"/>
        </w:rPr>
        <w:t>For beam type selection for FR2 beam correspondence requirements, RAN4 to conclude that the RF requirements for IA should accommodate different implementation, including both rough and fine beam, and the requirements should be implementation agnostic. With this conclusion, RAN4 can stop the discussion on beam type selection and focus on specifying FR2 beam correspondence requirements for IA and RRC_INACTIVE</w:t>
      </w:r>
      <w:r w:rsidR="00F42C6B" w:rsidRPr="008B68CD">
        <w:rPr>
          <w:b/>
          <w:lang w:val="en-US"/>
        </w:rPr>
        <w:t>, i.e., merging Option 3, 4 and 5.</w:t>
      </w:r>
    </w:p>
    <w:bookmarkEnd w:id="4"/>
    <w:p w14:paraId="2A3739F7" w14:textId="550E158B" w:rsidR="002634C9" w:rsidRPr="004D4F98" w:rsidRDefault="0061046D" w:rsidP="0061046D">
      <w:pPr>
        <w:pStyle w:val="Heading1"/>
        <w:numPr>
          <w:ilvl w:val="0"/>
          <w:numId w:val="3"/>
        </w:numPr>
        <w:rPr>
          <w:lang w:val="en-US"/>
        </w:rPr>
      </w:pPr>
      <w:r>
        <w:rPr>
          <w:lang w:val="en-US"/>
        </w:rPr>
        <w:t>Conclusion</w:t>
      </w:r>
    </w:p>
    <w:p w14:paraId="13398335" w14:textId="77777777" w:rsidR="00F42C6B" w:rsidRPr="008B68CD" w:rsidRDefault="008D0D1E" w:rsidP="00D776A6">
      <w:pPr>
        <w:jc w:val="both"/>
        <w:rPr>
          <w:lang w:val="en-US" w:eastAsia="ja-JP"/>
        </w:rPr>
      </w:pPr>
      <w:r w:rsidRPr="008B68CD">
        <w:rPr>
          <w:lang w:val="en-US" w:eastAsia="ja-JP"/>
        </w:rPr>
        <w:t xml:space="preserve">In this contribution we have </w:t>
      </w:r>
      <w:r w:rsidR="0061046D" w:rsidRPr="008B68CD">
        <w:rPr>
          <w:lang w:val="en-US" w:eastAsia="ja-JP"/>
        </w:rPr>
        <w:t>the following proposal for</w:t>
      </w:r>
      <w:r w:rsidR="00F42C6B" w:rsidRPr="008B68CD">
        <w:rPr>
          <w:lang w:val="en-US" w:eastAsia="ja-JP"/>
        </w:rPr>
        <w:t xml:space="preserve"> FR2 beam correspondence requirements:</w:t>
      </w:r>
    </w:p>
    <w:p w14:paraId="048A096C" w14:textId="16E348AC" w:rsidR="0050226F" w:rsidRPr="008B68CD" w:rsidRDefault="00F42C6B" w:rsidP="003C0851">
      <w:pPr>
        <w:jc w:val="both"/>
        <w:rPr>
          <w:bCs/>
          <w:lang w:val="en-US"/>
        </w:rPr>
      </w:pPr>
      <w:r w:rsidRPr="008B68CD">
        <w:rPr>
          <w:b/>
          <w:lang w:val="en-US"/>
        </w:rPr>
        <w:t>Proposal: For beam type selection for FR2 beam correspondence requirements, RAN4 to conclude that the RF requirements for IA should accommodate different implementation, including both rough and fine beam, and the requirements should be implementation agnostic. With this conclusion, RAN4 can stop the discussion on beam type selection and focus on specifying FR2 beam correspondence requirements for IA and RRC_INACTIVE</w:t>
      </w:r>
      <w:r w:rsidR="004F2502" w:rsidRPr="008B68CD">
        <w:rPr>
          <w:b/>
          <w:lang w:val="en-US"/>
        </w:rPr>
        <w:t>, i.e., merging Option 3, 4 and 5</w:t>
      </w:r>
      <w:r w:rsidRPr="008B68CD">
        <w:rPr>
          <w:b/>
          <w:lang w:val="en-US"/>
        </w:rPr>
        <w:t>.</w:t>
      </w:r>
    </w:p>
    <w:p w14:paraId="390ECC25" w14:textId="61FDD5B6" w:rsidR="005A782E" w:rsidRPr="002331D3" w:rsidRDefault="005A782E" w:rsidP="005876AB">
      <w:pPr>
        <w:pStyle w:val="Heading1"/>
        <w:ind w:left="0" w:firstLine="0"/>
        <w:rPr>
          <w:lang w:val="en-US"/>
        </w:rPr>
      </w:pPr>
      <w:r w:rsidRPr="002331D3">
        <w:rPr>
          <w:lang w:val="en-US"/>
        </w:rPr>
        <w:t>References</w:t>
      </w:r>
    </w:p>
    <w:p w14:paraId="21084D0E" w14:textId="2B2E7991" w:rsidR="009F52DC" w:rsidRPr="008B68CD" w:rsidRDefault="006C4288" w:rsidP="00461CC4">
      <w:pPr>
        <w:pStyle w:val="ListParagraph"/>
        <w:numPr>
          <w:ilvl w:val="0"/>
          <w:numId w:val="2"/>
        </w:numPr>
        <w:rPr>
          <w:lang w:val="en-US"/>
        </w:rPr>
      </w:pPr>
      <w:bookmarkStart w:id="5" w:name="OLE_LINK12"/>
      <w:bookmarkStart w:id="6" w:name="_Ref101774927"/>
      <w:r w:rsidRPr="008B68CD">
        <w:rPr>
          <w:lang w:val="en-US"/>
        </w:rPr>
        <w:t>R4-2306600, WF on beam correspondence in initial access and RRC_INACTIVE, Nokia</w:t>
      </w:r>
    </w:p>
    <w:p w14:paraId="50546270" w14:textId="165B1C3D" w:rsidR="00274153" w:rsidRPr="008B68CD" w:rsidRDefault="00274153" w:rsidP="00461CC4">
      <w:pPr>
        <w:pStyle w:val="ListParagraph"/>
        <w:numPr>
          <w:ilvl w:val="0"/>
          <w:numId w:val="2"/>
        </w:numPr>
        <w:rPr>
          <w:lang w:val="en-US"/>
        </w:rPr>
      </w:pPr>
      <w:r w:rsidRPr="008B68CD">
        <w:rPr>
          <w:lang w:val="en-US"/>
        </w:rPr>
        <w:t>R4-2306289</w:t>
      </w:r>
      <w:r w:rsidRPr="008B68CD">
        <w:rPr>
          <w:lang w:val="en-US"/>
        </w:rPr>
        <w:tab/>
        <w:t xml:space="preserve">Topic summary for [106-bis-e][127] FR2_enh_req_Ph3_part1, </w:t>
      </w:r>
      <w:r w:rsidR="003B532A" w:rsidRPr="008B68CD">
        <w:rPr>
          <w:lang w:val="en-US"/>
        </w:rPr>
        <w:t>Moderator(</w:t>
      </w:r>
      <w:r w:rsidRPr="008B68CD">
        <w:rPr>
          <w:lang w:val="en-US"/>
        </w:rPr>
        <w:t>Nokia</w:t>
      </w:r>
      <w:r w:rsidR="003B532A" w:rsidRPr="008B68CD">
        <w:rPr>
          <w:lang w:val="en-US"/>
        </w:rPr>
        <w:t>)</w:t>
      </w:r>
    </w:p>
    <w:bookmarkEnd w:id="5"/>
    <w:bookmarkEnd w:id="6"/>
    <w:p w14:paraId="579C76C0" w14:textId="77777777" w:rsidR="003664C2" w:rsidRPr="008B68CD" w:rsidRDefault="003664C2" w:rsidP="003664C2">
      <w:pPr>
        <w:rPr>
          <w:rFonts w:ascii="Arial" w:hAnsi="Arial" w:cs="Times New Roman"/>
          <w:sz w:val="21"/>
          <w:szCs w:val="21"/>
          <w:lang w:val="en-US"/>
        </w:rPr>
      </w:pPr>
    </w:p>
    <w:sectPr w:rsidR="003664C2" w:rsidRPr="008B68CD"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CE89A" w14:textId="77777777" w:rsidR="00B171ED" w:rsidRDefault="00B171ED">
      <w:pPr>
        <w:spacing w:after="0"/>
      </w:pPr>
      <w:r>
        <w:separator/>
      </w:r>
    </w:p>
  </w:endnote>
  <w:endnote w:type="continuationSeparator" w:id="0">
    <w:p w14:paraId="12D0BAAC" w14:textId="77777777" w:rsidR="00B171ED" w:rsidRDefault="00B171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9E793" w14:textId="77777777" w:rsidR="00B171ED" w:rsidRDefault="00B171ED">
      <w:pPr>
        <w:spacing w:after="0"/>
      </w:pPr>
      <w:r>
        <w:separator/>
      </w:r>
    </w:p>
  </w:footnote>
  <w:footnote w:type="continuationSeparator" w:id="0">
    <w:p w14:paraId="3FDFAA4E" w14:textId="77777777" w:rsidR="00B171ED" w:rsidRDefault="00B171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4"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27D2AD2"/>
    <w:multiLevelType w:val="hybridMultilevel"/>
    <w:tmpl w:val="9D9AC3F4"/>
    <w:lvl w:ilvl="0" w:tplc="204687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8"/>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2"/>
  </w:num>
  <w:num w:numId="7">
    <w:abstractNumId w:val="19"/>
  </w:num>
  <w:num w:numId="8">
    <w:abstractNumId w:val="3"/>
  </w:num>
  <w:num w:numId="9">
    <w:abstractNumId w:val="19"/>
  </w:num>
  <w:num w:numId="10">
    <w:abstractNumId w:val="5"/>
  </w:num>
  <w:num w:numId="11">
    <w:abstractNumId w:val="19"/>
  </w:num>
  <w:num w:numId="12">
    <w:abstractNumId w:val="26"/>
  </w:num>
  <w:num w:numId="13">
    <w:abstractNumId w:val="7"/>
  </w:num>
  <w:num w:numId="14">
    <w:abstractNumId w:val="9"/>
  </w:num>
  <w:num w:numId="15">
    <w:abstractNumId w:val="25"/>
  </w:num>
  <w:num w:numId="16">
    <w:abstractNumId w:val="2"/>
  </w:num>
  <w:num w:numId="17">
    <w:abstractNumId w:val="13"/>
  </w:num>
  <w:num w:numId="18">
    <w:abstractNumId w:val="19"/>
  </w:num>
  <w:num w:numId="19">
    <w:abstractNumId w:val="10"/>
  </w:num>
  <w:num w:numId="20">
    <w:abstractNumId w:val="23"/>
  </w:num>
  <w:num w:numId="21">
    <w:abstractNumId w:val="18"/>
  </w:num>
  <w:num w:numId="22">
    <w:abstractNumId w:val="21"/>
  </w:num>
  <w:num w:numId="23">
    <w:abstractNumId w:val="19"/>
  </w:num>
  <w:num w:numId="24">
    <w:abstractNumId w:val="20"/>
  </w:num>
  <w:num w:numId="25">
    <w:abstractNumId w:val="14"/>
  </w:num>
  <w:num w:numId="26">
    <w:abstractNumId w:val="19"/>
  </w:num>
  <w:num w:numId="27">
    <w:abstractNumId w:val="20"/>
  </w:num>
  <w:num w:numId="28">
    <w:abstractNumId w:val="17"/>
  </w:num>
  <w:num w:numId="29">
    <w:abstractNumId w:val="16"/>
  </w:num>
  <w:num w:numId="30">
    <w:abstractNumId w:val="4"/>
  </w:num>
  <w:num w:numId="31">
    <w:abstractNumId w:val="24"/>
  </w:num>
  <w:num w:numId="32">
    <w:abstractNumId w:val="8"/>
  </w:num>
  <w:num w:numId="33">
    <w:abstractNumId w:val="15"/>
  </w:num>
  <w:num w:numId="34">
    <w:abstractNumId w:val="0"/>
  </w:num>
  <w:num w:numId="35">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2A45"/>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2DC"/>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4EE"/>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153"/>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171"/>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32A"/>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14"/>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50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692"/>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288"/>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672"/>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25"/>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8C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4FD"/>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1ED"/>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8F0"/>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8CA"/>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0C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AD3"/>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713"/>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47F3D"/>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165"/>
    <w:rsid w:val="00DB7D23"/>
    <w:rsid w:val="00DB7FE2"/>
    <w:rsid w:val="00DC0129"/>
    <w:rsid w:val="00DC0286"/>
    <w:rsid w:val="00DC0919"/>
    <w:rsid w:val="00DC19AE"/>
    <w:rsid w:val="00DC1D36"/>
    <w:rsid w:val="00DC1E2B"/>
    <w:rsid w:val="00DC1EDD"/>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67B"/>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2C6B"/>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BF2"/>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8CD"/>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8B68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68C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608</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2023-05-11T17:57:00Z</dcterms:created>
  <dcterms:modified xsi:type="dcterms:W3CDTF">2023-05-15T10:44:00Z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